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193</w:t>
      </w:r>
    </w:p>
    <w:p>
      <w:r>
        <w:t>Bundesgericht (BGE), 1994-08-24, FR</w:t>
      </w:r>
    </w:p>
    <w:p>
      <w:r>
        <w:rPr>
          <w:b/>
        </w:rPr>
        <w:t xml:space="preserve">Quelle: </w:t>
      </w:r>
      <w:r>
        <w:t>https://mcp.opencaselaw.ch/entscheid/bge_121 IV 193</w:t>
      </w:r>
    </w:p>
    <w:p>
      <w:r>
        <w:t>FR: ATF 121 IV 193</w:t>
      </w:r>
    </w:p>
    <w:p>
      <w:r>
        <w:t>IT: DTF 121 IV 193</w:t>
      </w:r>
    </w:p>
    <w:p>
      <w:pPr>
        <w:pStyle w:val="Heading2"/>
      </w:pPr>
      <w:r>
        <w:t>Regeste</w:t>
      </w:r>
    </w:p>
    <w:p>
      <w:r>
        <w:t>Regeste Art. 63 StGB; Strafzumessung, Reinheitsgrad des Betäubungsmittels. Steht nicht fest, dass der Beschuldigte ein ausgesprochen reines oder ein besonders stark gestrecktes Betäubungsmittel liefern wollte, spielt der genaue Reinheitsgrad für die Gewichtung des Verschuldens und bei der Strafzumessung keine Rolle. Die genaue Betäubungsmittelmenge und gegebenenfalls ihr Reinheitsgrad verlieren an Bedeutung, wenn mehrere Qualifikationsgründe gemäss Art. 19 Ziff. 2 BetmG gegeben sind, und sie werden umso weniger wichtig, je deutlicher der Grenzwert im Sinne von Art. 19 Ziff. 2 lit. a BetmG überschritten ist (E. 2b/aa).</w:t>
      </w:r>
    </w:p>
    <w:p>
      <w:pPr>
        <w:pStyle w:val="Heading2"/>
      </w:pPr>
      <w:r>
        <w:t>Erwägungen</w:t>
      </w:r>
    </w:p>
    <w:p>
      <w:r>
        <w:rPr>
          <w:b/>
        </w:rPr>
        <w:t>E. 1</w:t>
      </w:r>
    </w:p>
    <w:p>
      <w:r>
        <w:t>(Recevabilité).</w:t>
      </w:r>
    </w:p>
    <w:p>
      <w:r>
        <w:rPr>
          <w:b/>
        </w:rPr>
        <w:t>E. 2</w:t>
      </w:r>
    </w:p>
    <w:p>
      <w:r>
        <w:t>a) Invoquant une violation de l' art. 63 CP , le recourant soutient que la peine qui lui a été infligée est exagérément sévère.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120 IV 136 consid. 3a et les arrêts cités). Les éléments pertinents pour la fixation de la peine ont été exposés de manière détaillée dans les ATF 117 IV 112 consid. 1 et ATF 116 IV 288 consid. 2a, auxquels on peut se référer. b) Le recourant critique la peine qui lui a été infligée, en faisant valoir deux arguments précis. BGE 121 IV 193 S. 196 aa) Il soutient que la gravité de sa faute aurait dû être appréciée en prenant en compte non pas la quantité totale de drogue, soit 3,1 kg, mais seulement la quantité de drogue pure, étant rappelé que l'autorité cantonale a admis que les stupéfiants livrés avaient un taux de pureté moyen évalué à 30%. Selon une jurisprudence récente, c'est la quantité de drogue pure sur laquelle a porté l'infraction qui doit être prise en considération pour déterminer si le cas est grave au sens de l' art. 19 ch. 2 let. a LStup ( ATF 119 IV 180 consid. 2d). Cette jurisprudence repose sur la notion de "quantité de stupéfiants qui peut mettre en danger la santé de nombreuses personnes", qui est déterminante pour distinguer le cas simple du cas grave prévu par l' art. 19 ch. 2 let. a LStup . Elle ne s'applique en revanche pas à la fixation de la peine, contexte dans lequel la question se pose de manière fort différente. En effet, la quotité de la peine doit être fixée en fonction de la gravité de la faute imputable à l'auteur et non du danger que représente la drogue sur laquelle a porté le trafic. Il s'agit là certes de l'un des éléments pertinents pour apprécier la gravité de la faute, mais qui est à estimer conjointement avec plusieurs autres, sans revêtir une importance prépondérante ( ATF 118 IV 342 consid. 2c). C'est tout un ensemble de données relatives aux circonstances de l'infraction et à la personne de l'auteur qui doivent être prises en considération. La quantité de drogue en jeu et, le cas échéant, la pureté de celle-ci est d'autant moins déterminante que l'on s'éloigne de la limite à partir de laquelle le cas doit être considéré comme grave au sens de l' art. 19 ch. 2 let. a LStup . De même, cet élément perd de l'importance lorsque plusieurs des circonstances aggravantes prévues à l' art. 19 ch. 2 LStup sont réalisées. En l'espèce, il a été admis que le recourant avait réalisé les trois hypothèses de cas grave prévues par l' art. 19 ch. 2 LStup et qu'il avait joué un rôle primordial dans le trafic en cause. Dans ces conditions, les constatations cantonales desquelles il ressort que le recourant a livré, avec conscience et volonté, au moins 3,1 kg de drogue dure, au sens où ce produit est habituellement vendu sur le marché en vue d'être consommé, sont suffisantes. Certes, comme il est d'usage, la drogue n'était pas pure à 100%, mais puisqu'il ne ressort pas des constatations cantonales que le recourant aurait voulu fournir une drogue particulièrement pure ou particulièrement diluée, la question du taux de pureté exact ne joue pas de rôle pour apprécier la gravité de sa faute. BGE 121 IV 193 S. 197 Lorsque le recourant tente de soutenir que la peine qui lui a été infligée est excessive pour une quantité de 930 g de drogue pure, il fausse les termes d'une éventuelle comparaison. En effet, la drogue n'étant en pratique jamais vendue pure, il est toujours pris en considération la quantité que l'auteur avait en vue, sachant que la drogue est plus ou moins diluée et qu'il s'agit de la marchandise ordinairement vendue sur le marché en vue d'être consommée. On ne discerne donc pas de violation du droit fédéral dans l'appréciation de la faute commise par le recourant. bb) Citant des passages de conversations téléphoniques surveillées, le recourant soutient que son activité a été moins importante qu'il n'a été retenu, et il conteste avoir été guidé par le seul profit et avoir agi comme un professionnel. Déterminer ce qu'une personne a fait, de quelle manière elle a organisé son activité délictueuse, et quel était son état d'esprit relève des constatations de fait qui lient la Cour de cassation (cf. ATF 120 IV 117 consid. 2a, 119 IV 222 consid. 2, ATF 118 IV 122 consid. 1, 167 consid. 4). L'argumentation du recourant revient sur ce point à s'écarter des constatations de fait cantonales, ce qui n'est pas admissible dans le cadre d'un pourvoi en nullité. c) En l'espèce, la peine a été fixée dans le cadre légal (art. 19 ch. 1 in fine LStup), en suivant les critères posés par l' art. 63 CP et sans se laisser guider par des considérations étrangères à cette disposition. Le recourant ne peut d'ailleurs citer aucun élément important, propre à modifier la quotité de la peine, qui aurait été omis. Il résulte des faits retenus - qui lient la Cour de cassation - que le recourant, qui aurait pu mener une vie honnête en France, s'est lancé, par appât du gain, dans un trafic portant sur une grande quantité de drogue particulièrement dangereuse, employant des tiers pour transporter la drogue et fournissant d'importants revendeurs; sur une période relativement courte, il a réalisé ainsi un bénéfice de 186'000 fr., en faisant fi de la santé d'autrui; toutes les hypothèses de cas graves envisagées par le législateur à l' art. 19 ch. 2 LStup sont ici réalisées. Dès lors, même en tenant compte de l'absence d'antécédents et des difficultés personnelles relatées par l'autorité cantonale, la faute commise apparaît très lourde et on ne saurait dire que la peine infligée, compte tenu du cadre légal et des peines usuelles (cf. ATF 120 IV 136 consid. 3b), est exagérément sévère au point de constituer un abus du pouvoir d'appréciation.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